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9B" w:rsidRDefault="0064339B" w:rsidP="006433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433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64339B" w:rsidRPr="0064339B" w:rsidRDefault="0064339B" w:rsidP="006433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асідання </w:t>
      </w:r>
      <w:r w:rsidRPr="006433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85 сесії </w:t>
      </w:r>
    </w:p>
    <w:p w:rsidR="0064339B" w:rsidRPr="0064339B" w:rsidRDefault="0064339B" w:rsidP="006433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433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33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6433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64339B" w:rsidRPr="0064339B" w:rsidRDefault="0064339B" w:rsidP="006433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433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22 липня 2025 року</w:t>
      </w:r>
    </w:p>
    <w:p w:rsidR="0064339B" w:rsidRPr="0064339B" w:rsidRDefault="0064339B" w:rsidP="006433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924" w:tblpY="1"/>
        <w:tblOverlap w:val="never"/>
        <w:tblW w:w="107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842"/>
        <w:gridCol w:w="142"/>
        <w:gridCol w:w="850"/>
      </w:tblGrid>
      <w:tr w:rsidR="0064339B" w:rsidRPr="0064339B" w:rsidTr="00222BBE">
        <w:trPr>
          <w:trHeight w:val="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9B" w:rsidRPr="0064339B" w:rsidRDefault="0064339B" w:rsidP="0064339B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4339B" w:rsidRPr="0064339B" w:rsidRDefault="0064339B" w:rsidP="0064339B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4339B">
              <w:rPr>
                <w:rFonts w:ascii="Times New Roman" w:hAnsi="Times New Roman"/>
                <w:iCs/>
                <w:sz w:val="24"/>
                <w:szCs w:val="24"/>
              </w:rPr>
              <w:t>з\п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9B" w:rsidRPr="0064339B" w:rsidRDefault="0064339B" w:rsidP="0064339B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4339B">
              <w:rPr>
                <w:rFonts w:ascii="Times New Roman" w:hAnsi="Times New Roman"/>
                <w:iCs/>
                <w:sz w:val="24"/>
                <w:szCs w:val="24"/>
              </w:rPr>
              <w:t>Назва рішення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64339B">
              <w:rPr>
                <w:rFonts w:ascii="Times New Roman" w:hAnsi="Times New Roman"/>
                <w:iCs/>
                <w:sz w:val="24"/>
                <w:szCs w:val="24"/>
              </w:rPr>
              <w:t>Доповідач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64339B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spellStart"/>
            <w:r w:rsidRPr="0064339B">
              <w:rPr>
                <w:rFonts w:ascii="Times New Roman" w:hAnsi="Times New Roman"/>
                <w:iCs/>
                <w:sz w:val="24"/>
                <w:szCs w:val="24"/>
              </w:rPr>
              <w:t>рішен</w:t>
            </w:r>
            <w:proofErr w:type="spellEnd"/>
            <w:r w:rsidRPr="0064339B">
              <w:rPr>
                <w:rFonts w:ascii="Times New Roman" w:hAnsi="Times New Roman"/>
                <w:iCs/>
                <w:sz w:val="24"/>
                <w:szCs w:val="24"/>
              </w:rPr>
              <w:t>-ня</w:t>
            </w:r>
          </w:p>
        </w:tc>
      </w:tr>
      <w:tr w:rsidR="0064339B" w:rsidRPr="0064339B" w:rsidTr="00222BBE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Про звіт про виконання бюджету міської територіальної громади за І півріччя 2025 року.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2000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Про внесення зміни до  Програми підтримки військових частин  Збройних Сил України, Національної гвардії України  на 2025 рік.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2001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А7383  (для військової частини А4603)Збройних Сил України.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2002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А4548 Збройних Сил України.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2003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  <w:shd w:val="clear" w:color="auto" w:fill="auto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 державному бюджету </w:t>
            </w:r>
          </w:p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на виконання Програми підтримки військових частин </w:t>
            </w:r>
          </w:p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Збройних Сил України, Національної гвардії України на 2025 рік військовій частині А4722 Збройних Сил України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2004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внесення змін до рішення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від 29.04.2025 р. № 1892 «Про передачу субвенції з бюджету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3102 Національної гвардії України»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  <w:highlight w:val="yellow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2005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внесення змін до програми утримання  та ремонту автомобільних доріг загального  користування місцевого значення  та доріг комунальної власності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на 2025  рік.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2006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 внесення   змін до програми 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на 2025 рік.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2007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 внесення змін до програми розвитку житлово-комунального господарства та благоустрою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 міської територіальної громади на 2025  рік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2008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затвердження висновку фінансового відділу про перевиконання дохідної частини загального фонду бюджету за підсумками  6 місяців 2025 року.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2009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Про  внесення   змін до програми розвитку та фінансової підтримки комунального некомерційного підприємства «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Зеленодольський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центр первинної медико-санітарної допомоги»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на 2025-2027 роки із змінами.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2010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затвердження граничних сум витрат на придбання автомобілів, меблів, іншого обладнання та устаткування, мобільних телефонів, комп’ютерів виконавчими органами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ради, а також установами та організаціями, які утримуються за рахунок коштів бюджету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hanging="108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2011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внесення змін до програми економічного і соціального розвитку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на 2025 рік.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2012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Зеленодольський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міський водоканал» на 2025 рік, затвердженої рішенням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від 24.12.2024 р. №1744.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Постна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Т.Г.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2013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прийняття майна у комунальну власність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 територіальної громади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hanging="108"/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Джалілова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2014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прийняття на баланс виконавчого комітету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2015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внесення змін до рішення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від 29.10.2024 № 1664 «Про затвердження Положення про службу у справах дітей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Безвезюк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А.В.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2016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  <w:tab w:val="left" w:pos="284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внесення змін до рішення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від 27 травня 2025року №1950 «Про реорганізацію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Зеленодольського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ліцею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Дніпропетровської області шляхом приєднання до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Зеленодольського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ліцею №2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Дніпропетровської області».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Цицюра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2017</w:t>
            </w:r>
          </w:p>
        </w:tc>
      </w:tr>
      <w:tr w:rsidR="0064339B" w:rsidRPr="0064339B" w:rsidTr="00222BBE">
        <w:trPr>
          <w:trHeight w:val="9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  <w:tab w:val="left" w:pos="284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Про внесення змін до  Програми оздоровлення та відпочинку дітей </w:t>
            </w: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на 2025 рік.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Цицюра</w:t>
            </w:r>
            <w:proofErr w:type="spellEnd"/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2018</w:t>
            </w:r>
          </w:p>
        </w:tc>
      </w:tr>
      <w:tr w:rsidR="0064339B" w:rsidRPr="0064339B" w:rsidTr="00222BBE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  <w:shd w:val="clear" w:color="auto" w:fill="auto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Про надання матеріальної допомоги.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2019</w:t>
            </w:r>
          </w:p>
        </w:tc>
      </w:tr>
      <w:tr w:rsidR="0064339B" w:rsidRPr="0064339B" w:rsidTr="00222BBE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ind w:left="63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Про надання матеріальної допомоги.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>2020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7088" w:type="dxa"/>
          </w:tcPr>
          <w:p w:rsidR="0064339B" w:rsidRPr="0064339B" w:rsidRDefault="0064339B" w:rsidP="0064339B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рішення міської ради від 24 грудня 2024 року № 1758 «Про бюджет міської територіальної громади на 2025 рік».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highlight w:val="cyan"/>
              </w:rPr>
            </w:pPr>
            <w:r w:rsidRPr="0064339B">
              <w:rPr>
                <w:rFonts w:ascii="Times New Roman" w:hAnsi="Times New Roman"/>
                <w:iCs/>
                <w:sz w:val="28"/>
                <w:szCs w:val="28"/>
              </w:rPr>
              <w:t xml:space="preserve"> 2021</w:t>
            </w:r>
          </w:p>
        </w:tc>
      </w:tr>
      <w:tr w:rsidR="0064339B" w:rsidRPr="0064339B" w:rsidTr="00222BBE">
        <w:trPr>
          <w:trHeight w:val="567"/>
        </w:trPr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Блок  земельних питань</w:t>
            </w:r>
          </w:p>
        </w:tc>
      </w:tr>
      <w:tr w:rsidR="0064339B" w:rsidRPr="0064339B" w:rsidTr="00222BBE">
        <w:trPr>
          <w:trHeight w:val="1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ind w:left="111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23.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eastAsia="ru-RU"/>
              </w:rPr>
            </w:pPr>
            <w:r w:rsidRPr="0064339B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eastAsia="ru-RU"/>
              </w:rPr>
              <w:t xml:space="preserve">Про затвердження договорів та додаткових угод до них, укладених міським головою від імені </w:t>
            </w:r>
            <w:proofErr w:type="spellStart"/>
            <w:r w:rsidRPr="0064339B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eastAsia="ru-RU"/>
              </w:rPr>
              <w:t>Зеленодольської</w:t>
            </w:r>
            <w:proofErr w:type="spellEnd"/>
            <w:r w:rsidRPr="0064339B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eastAsia="ru-RU"/>
              </w:rPr>
              <w:t xml:space="preserve"> міської ради з питань надання земельних ділянок в користування, внесення змін в договори користування земельними ділянками та припинення договорів.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ind w:right="-108" w:hanging="108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Миронова А.О.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ind w:left="111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2022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24.</w:t>
            </w:r>
          </w:p>
        </w:tc>
        <w:tc>
          <w:tcPr>
            <w:tcW w:w="7088" w:type="dxa"/>
          </w:tcPr>
          <w:p w:rsidR="0064339B" w:rsidRPr="0064339B" w:rsidRDefault="0064339B" w:rsidP="0064339B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64339B">
              <w:rPr>
                <w:rFonts w:ascii="Times New Roman" w:eastAsia="Times New Roman" w:hAnsi="Times New Roman"/>
                <w:iCs/>
                <w:sz w:val="27"/>
                <w:szCs w:val="27"/>
                <w:shd w:val="clear" w:color="auto" w:fill="FFFFFF"/>
                <w:lang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орієнтовною площею 0,0250 га</w:t>
            </w:r>
          </w:p>
          <w:p w:rsidR="0064339B" w:rsidRPr="0064339B" w:rsidRDefault="0064339B" w:rsidP="0064339B">
            <w:pPr>
              <w:jc w:val="right"/>
              <w:rPr>
                <w:rFonts w:ascii="Times New Roman" w:eastAsia="Times New Roman" w:hAnsi="Times New Roman"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64339B">
              <w:rPr>
                <w:rFonts w:ascii="Times New Roman" w:eastAsia="Times New Roman" w:hAnsi="Times New Roman"/>
                <w:iCs/>
                <w:sz w:val="27"/>
                <w:szCs w:val="27"/>
                <w:shd w:val="clear" w:color="auto" w:fill="FFFFFF"/>
                <w:lang w:eastAsia="ru-RU"/>
              </w:rPr>
              <w:tab/>
              <w:t>Розглянувши заяву фізичної особи – підприємця Бондаренко Тетяни Борисівни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right="-108" w:hanging="108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Миронова А.О.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ind w:left="111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2023</w:t>
            </w:r>
          </w:p>
        </w:tc>
      </w:tr>
      <w:tr w:rsidR="0064339B" w:rsidRPr="0064339B" w:rsidTr="00222BB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  <w:tab w:val="left" w:pos="39"/>
              </w:tabs>
              <w:ind w:left="111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25.</w:t>
            </w:r>
          </w:p>
        </w:tc>
        <w:tc>
          <w:tcPr>
            <w:tcW w:w="7088" w:type="dxa"/>
          </w:tcPr>
          <w:p w:rsidR="0064339B" w:rsidRPr="0064339B" w:rsidRDefault="0064339B" w:rsidP="0064339B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64339B">
              <w:rPr>
                <w:rFonts w:ascii="Times New Roman" w:eastAsia="Times New Roman" w:hAnsi="Times New Roman"/>
                <w:iCs/>
                <w:sz w:val="27"/>
                <w:szCs w:val="27"/>
                <w:shd w:val="clear" w:color="auto" w:fill="FFFFFF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64339B" w:rsidRPr="0064339B" w:rsidRDefault="0064339B" w:rsidP="0064339B">
            <w:pPr>
              <w:rPr>
                <w:rFonts w:ascii="Times New Roman" w:eastAsia="Times New Roman" w:hAnsi="Times New Roman"/>
                <w:iCs/>
                <w:sz w:val="27"/>
                <w:szCs w:val="27"/>
                <w:shd w:val="clear" w:color="auto" w:fill="FFFFFF"/>
                <w:lang w:eastAsia="ru-RU"/>
              </w:rPr>
            </w:pPr>
            <w:r w:rsidRPr="0064339B">
              <w:rPr>
                <w:rFonts w:ascii="Times New Roman" w:eastAsia="Times New Roman" w:hAnsi="Times New Roman"/>
                <w:iCs/>
                <w:sz w:val="27"/>
                <w:szCs w:val="27"/>
                <w:shd w:val="clear" w:color="auto" w:fill="FFFFFF"/>
                <w:lang w:eastAsia="ru-RU"/>
              </w:rPr>
              <w:t xml:space="preserve">         Розглянувши заяву громадянки України Кібець К.Г.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ind w:right="-108" w:hanging="108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 xml:space="preserve">Миронова А.О.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9B" w:rsidRPr="0064339B" w:rsidRDefault="0064339B" w:rsidP="0064339B">
            <w:pPr>
              <w:tabs>
                <w:tab w:val="left" w:pos="-142"/>
              </w:tabs>
              <w:ind w:left="111"/>
              <w:rPr>
                <w:rFonts w:ascii="Times New Roman" w:hAnsi="Times New Roman"/>
                <w:iCs/>
                <w:sz w:val="27"/>
                <w:szCs w:val="27"/>
              </w:rPr>
            </w:pPr>
            <w:r w:rsidRPr="0064339B">
              <w:rPr>
                <w:rFonts w:ascii="Times New Roman" w:hAnsi="Times New Roman"/>
                <w:iCs/>
                <w:sz w:val="27"/>
                <w:szCs w:val="27"/>
              </w:rPr>
              <w:t>2024</w:t>
            </w:r>
          </w:p>
        </w:tc>
      </w:tr>
    </w:tbl>
    <w:p w:rsidR="0064339B" w:rsidRPr="0064339B" w:rsidRDefault="0064339B" w:rsidP="006433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C53E4" w:rsidRDefault="009C53E4"/>
    <w:sectPr w:rsidR="009C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7F"/>
    <w:rsid w:val="0064339B"/>
    <w:rsid w:val="009C53E4"/>
    <w:rsid w:val="00B8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4E24"/>
  <w15:chartTrackingRefBased/>
  <w15:docId w15:val="{293E5F30-CCF8-4840-BA33-AC53EB5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39B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2026-01-29T20:55:00Z</dcterms:created>
  <dcterms:modified xsi:type="dcterms:W3CDTF">2026-01-29T20:55:00Z</dcterms:modified>
</cp:coreProperties>
</file>