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F5" w:rsidRPr="004E59F5" w:rsidRDefault="004E59F5" w:rsidP="004E5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E59F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  <w:r w:rsidRPr="004E59F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84 сесії </w:t>
      </w:r>
    </w:p>
    <w:p w:rsidR="004E59F5" w:rsidRPr="004E59F5" w:rsidRDefault="004E59F5" w:rsidP="004E5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E59F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E59F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4E59F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 </w:t>
      </w:r>
    </w:p>
    <w:p w:rsidR="004E59F5" w:rsidRPr="004E59F5" w:rsidRDefault="004E59F5" w:rsidP="004E5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E59F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24 червня 2025 року</w:t>
      </w:r>
    </w:p>
    <w:p w:rsidR="004E59F5" w:rsidRPr="004E59F5" w:rsidRDefault="004E59F5" w:rsidP="004E5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X="-422" w:tblpY="1"/>
        <w:tblOverlap w:val="never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6365"/>
        <w:gridCol w:w="2126"/>
        <w:gridCol w:w="865"/>
      </w:tblGrid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F5" w:rsidRPr="004E59F5" w:rsidRDefault="004E59F5" w:rsidP="004E59F5">
            <w:p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E59F5" w:rsidRPr="004E59F5" w:rsidRDefault="004E59F5" w:rsidP="004E59F5">
            <w:pPr>
              <w:tabs>
                <w:tab w:val="left" w:pos="-142"/>
                <w:tab w:val="left" w:pos="39"/>
              </w:tabs>
              <w:ind w:left="360" w:hanging="32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E59F5">
              <w:rPr>
                <w:rFonts w:ascii="Times New Roman" w:hAnsi="Times New Roman"/>
                <w:iCs/>
                <w:sz w:val="24"/>
                <w:szCs w:val="24"/>
              </w:rPr>
              <w:t>з\п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F5" w:rsidRPr="004E59F5" w:rsidRDefault="004E59F5" w:rsidP="004E59F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59F5">
              <w:rPr>
                <w:rFonts w:ascii="Times New Roman" w:hAnsi="Times New Roman"/>
                <w:iCs/>
                <w:sz w:val="24"/>
                <w:szCs w:val="24"/>
              </w:rPr>
              <w:t>Назва рішення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4E59F5">
              <w:rPr>
                <w:rFonts w:ascii="Times New Roman" w:hAnsi="Times New Roman"/>
                <w:iCs/>
                <w:sz w:val="24"/>
                <w:szCs w:val="24"/>
              </w:rPr>
              <w:t>Доповідач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4E59F5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proofErr w:type="spellStart"/>
            <w:r w:rsidRPr="004E59F5">
              <w:rPr>
                <w:rFonts w:ascii="Times New Roman" w:hAnsi="Times New Roman"/>
                <w:iCs/>
                <w:sz w:val="24"/>
                <w:szCs w:val="24"/>
              </w:rPr>
              <w:t>рішен</w:t>
            </w:r>
            <w:proofErr w:type="spellEnd"/>
            <w:r w:rsidRPr="004E59F5">
              <w:rPr>
                <w:rFonts w:ascii="Times New Roman" w:hAnsi="Times New Roman"/>
                <w:iCs/>
                <w:sz w:val="24"/>
                <w:szCs w:val="24"/>
              </w:rPr>
              <w:t>-ня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внесення зміни до  Програми підтримки військових частин  Збройних Сил України, Національної гвардії України  на 2025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1968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bCs/>
                <w:iCs/>
                <w:sz w:val="27"/>
                <w:szCs w:val="27"/>
              </w:rPr>
              <w:t xml:space="preserve">Про передачу субвенції з бюджету </w:t>
            </w:r>
            <w:proofErr w:type="spellStart"/>
            <w:r w:rsidRPr="004E59F5">
              <w:rPr>
                <w:rFonts w:ascii="Times New Roman" w:hAnsi="Times New Roman"/>
                <w:bCs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bCs/>
                <w:iCs/>
                <w:sz w:val="27"/>
                <w:szCs w:val="27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А4804  Збройних Сил України.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1969</w:t>
            </w:r>
          </w:p>
        </w:tc>
      </w:tr>
      <w:tr w:rsidR="004E59F5" w:rsidRPr="004E59F5" w:rsidTr="00432DA2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bCs/>
                <w:iCs/>
                <w:sz w:val="27"/>
                <w:szCs w:val="27"/>
              </w:rPr>
              <w:t xml:space="preserve">Про передачу субвенції з бюджету </w:t>
            </w:r>
            <w:proofErr w:type="spellStart"/>
            <w:r w:rsidRPr="004E59F5">
              <w:rPr>
                <w:rFonts w:ascii="Times New Roman" w:hAnsi="Times New Roman"/>
                <w:bCs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bCs/>
                <w:iCs/>
                <w:sz w:val="27"/>
                <w:szCs w:val="27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А4698 Збройних Сил України.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1970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Про передачу субвенції з бюджету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А0878  Збройних Сил України.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1971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Про передачу субвенції з бюджету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 державному бюджету на виконання Програми підтримки військових частин Збройних Сил України, Національної гвардії України на 2025 рік військовій частині Т0320  Збройних Сил України.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1972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bCs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bCs/>
                <w:iCs/>
                <w:sz w:val="27"/>
                <w:szCs w:val="27"/>
              </w:rPr>
              <w:t xml:space="preserve">Про  внесення змін до Програми розвитку житлово-комунального господарства та благоустрою </w:t>
            </w:r>
            <w:proofErr w:type="spellStart"/>
            <w:r w:rsidRPr="004E59F5">
              <w:rPr>
                <w:rFonts w:ascii="Times New Roman" w:hAnsi="Times New Roman"/>
                <w:bCs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bCs/>
                <w:iCs/>
                <w:sz w:val="27"/>
                <w:szCs w:val="27"/>
              </w:rPr>
              <w:t xml:space="preserve">  міської територіальної громади на 2025 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1973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bCs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kern w:val="2"/>
                <w:sz w:val="27"/>
                <w:szCs w:val="27"/>
                <w14:ligatures w14:val="standardContextual"/>
              </w:rPr>
              <w:t xml:space="preserve">Про  внесення   змін до Програми профілактики злочинності і правопорушень на території </w:t>
            </w:r>
            <w:proofErr w:type="spellStart"/>
            <w:r w:rsidRPr="004E59F5">
              <w:rPr>
                <w:rFonts w:ascii="Times New Roman" w:hAnsi="Times New Roman"/>
                <w:kern w:val="2"/>
                <w:sz w:val="27"/>
                <w:szCs w:val="27"/>
                <w14:ligatures w14:val="standardContextual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kern w:val="2"/>
                <w:sz w:val="27"/>
                <w:szCs w:val="27"/>
                <w14:ligatures w14:val="standardContextual"/>
              </w:rPr>
              <w:t xml:space="preserve"> міської територіальної громади на 2025 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1974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Про  внесення   змін до Програми захисту населення і територій від надзвичайних ситуацій техногенного та природного характеру, забезпечення пожежної </w:t>
            </w: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lastRenderedPageBreak/>
              <w:t xml:space="preserve">безпеки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на 2025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lastRenderedPageBreak/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1975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ind w:left="644" w:hanging="402"/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spacing w:line="252" w:lineRule="auto"/>
              <w:jc w:val="both"/>
              <w:rPr>
                <w:rFonts w:ascii="Times New Roman" w:hAnsi="Times New Roman"/>
                <w:bCs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bCs/>
                <w:iCs/>
                <w:sz w:val="27"/>
                <w:szCs w:val="27"/>
              </w:rPr>
              <w:t xml:space="preserve">Про внесення змін до Програми проведення заходів із землеустрою на території </w:t>
            </w:r>
            <w:r w:rsidRPr="004E59F5">
              <w:rPr>
                <w:rFonts w:ascii="Times New Roman" w:hAnsi="Times New Roman"/>
                <w:kern w:val="2"/>
                <w:sz w:val="27"/>
                <w:szCs w:val="27"/>
                <w14:ligatures w14:val="standardContextual"/>
              </w:rPr>
              <w:t xml:space="preserve"> </w:t>
            </w:r>
            <w:proofErr w:type="spellStart"/>
            <w:r w:rsidRPr="004E59F5">
              <w:rPr>
                <w:rFonts w:ascii="Times New Roman" w:hAnsi="Times New Roman"/>
                <w:kern w:val="2"/>
                <w:sz w:val="27"/>
                <w:szCs w:val="27"/>
                <w14:ligatures w14:val="standardContextual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kern w:val="2"/>
                <w:sz w:val="27"/>
                <w:szCs w:val="27"/>
                <w14:ligatures w14:val="standardContextual"/>
              </w:rPr>
              <w:t xml:space="preserve"> міської територіальної громади на 2025 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1976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затвердження висновку фінансового відділу про перевиконання дохідної частини загального фонду бюджету за підсумками  5 місяців 2025 року.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1977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 внесення   змін до Програми розвитку та фінансової підтримки комунального некомерційного підприємства "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Зеленодольський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центр первинної медико-санітарної допомоги"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на 2025-2027 роки із змінами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1978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Про  внесення  змін до Програми економічного і соціального розвитку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на 2025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1979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Про  внесення  змін до програми утримання та ремонту автомобільних доріг загального користування місцевого значення та доріг комунальної власності  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територіальної громади на 2025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1980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внесення змін до Програми відшкодування різниці в тарифах на централізоване водопостачання та централізоване водовідведення комунальному підприємству «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Зеленодольський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міський водоканал» на 2025 рік, затвердженої рішенням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від 24.12.2024 № 1746 (зі змінами)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ind w:firstLine="34"/>
              <w:rPr>
                <w:rFonts w:ascii="Times New Roman" w:hAnsi="Times New Roman"/>
                <w:iCs/>
                <w:sz w:val="27"/>
                <w:szCs w:val="27"/>
              </w:rPr>
            </w:pP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Постна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Т.Г.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1981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внесення змін до Програми фінансової підтримки комунального підприємства «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Зеленодольський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міський водоканал» на 2025 рік, затвердженої рішенням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від 24.12.2024 №1744 (зі змінами)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Постна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Т.Г.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1982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збільшення розміру статутного капіталу  комунального підприємства «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Зеленодольський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міський водоканал»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Постна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Т.Г.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1983</w:t>
            </w:r>
          </w:p>
        </w:tc>
      </w:tr>
      <w:tr w:rsidR="004E59F5" w:rsidRPr="004E59F5" w:rsidTr="00432DA2">
        <w:trPr>
          <w:trHeight w:val="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Про відмову в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ненарахуванні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плати за землю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Постна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Т.Г.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1984</w:t>
            </w:r>
          </w:p>
        </w:tc>
      </w:tr>
      <w:tr w:rsidR="004E59F5" w:rsidRPr="004E59F5" w:rsidTr="00432DA2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 надання дозволу на списання майна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Джалілова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І.М.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1985</w:t>
            </w:r>
          </w:p>
        </w:tc>
      </w:tr>
      <w:tr w:rsidR="004E59F5" w:rsidRPr="004E59F5" w:rsidTr="00432DA2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передачу комунального майна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Джалілова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І.М.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1986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Про внесення змін до рішення «Про затвердження структури та штатної чисельності відділу освіти, культури, спорту та молодіжної політики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ради на 2025 рік» від 24.12.2024р №1751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Галкіна Г.О.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1987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внесення змін до рішення міської ради від 24 грудня 2024 року № 1758 «Про бюджет міської територіальної громади на 2025 рік».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Горбань В.В.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1988</w:t>
            </w:r>
          </w:p>
        </w:tc>
      </w:tr>
      <w:tr w:rsidR="004E59F5" w:rsidRPr="004E59F5" w:rsidTr="00432DA2">
        <w:trPr>
          <w:trHeight w:val="56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Блок земельних питань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 погодження технічної документації із землеустрою щодо встановлення меж частини земельної ділянки, на яку поширюється право сервітуту та надання згоди ТОВ «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Мар’янський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кар’єр» на встановлення земельного сервітуту площею 0,0217 га  на частину земельної ділянки  комунальної власності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об’єднаної територіальної громади Криворізького району Дніпропетровської області</w:t>
            </w:r>
          </w:p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                 Розглянувши заяву ТОВ «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Мар’янский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кар’єр»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1989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 погодження технічної документації із землеустрою щодо встановлення меж частини земельної ділянки, на яку поширюється право сервітуту та  надання згоди ТОВ «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Мар’янський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кар’єр» на встановлення земельного сервітуту площею 1,6791 га  на частину земельної ділянки  комунальної власності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об’єднаної територіальної громади Криворізького району Дніпропетровської області</w:t>
            </w:r>
          </w:p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                 Розглянувши заяву ТОВ «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Мар’янский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кар’єр»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1990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Про  погодження проекту землеустрою щодо організації і встановлення меж  територій земель водного фонду та водоохоронної зони водотоку  в районі с.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Мар’янське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, в балці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Березнегувата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(в створі об’єкта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надрокористування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за Спецдозволом № 6792 від 13.03.2024) на території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територіальної громади Криворізького району Дніпропетровської області  </w:t>
            </w:r>
          </w:p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</w:t>
            </w:r>
            <w:r w:rsidRPr="004E59F5">
              <w:rPr>
                <w:i/>
                <w:iCs/>
                <w:sz w:val="20"/>
                <w:szCs w:val="20"/>
              </w:rPr>
              <w:t xml:space="preserve">                          </w:t>
            </w: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Розглянувши заяву ТОВ «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Мар’янский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кар’єр»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1991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виділення земельної ділянки в натурі (на місцевості)  у розмірі земельної частки (паю)та передачу її у  власність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1992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Про надання земельної ділянки в оренду для будівництва та обслуговування будівель торгівлі по вулиці Кооперативна,44б в межах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с.Велика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Долина на території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Зеленодольської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міської  територіальної громади</w:t>
            </w:r>
          </w:p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                                    Розглянувши заяву Мазки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1993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затвердження технічної документації із землеустрою щодо встановлення  меж земельної ділянки,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</w:t>
            </w:r>
          </w:p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                                       Розглянувши заяву 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Вац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1994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затвердження технічної документації із землеустрою щодо встановлення  меж земельної ділянки,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</w:t>
            </w:r>
          </w:p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                                        Розглянувши заяву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Вац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i/>
                <w:iCs/>
                <w:sz w:val="20"/>
                <w:szCs w:val="20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1995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затвердження технічної документації із землеустрою щодо встановлення  меж земельної ділянки,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</w:t>
            </w:r>
          </w:p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                                   Розглянувши заяву Фертик Н.Р.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i/>
                <w:iCs/>
                <w:sz w:val="20"/>
                <w:szCs w:val="20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1996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затвердження технічної документації із землеустрою щодо встановлення  меж земельної ділянки,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</w:t>
            </w:r>
          </w:p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                             Розглянувши заяву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Легостаєвої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О.І.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i/>
                <w:iCs/>
                <w:sz w:val="20"/>
                <w:szCs w:val="20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1997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ab/>
              <w:t xml:space="preserve">                     Розглянувши заяву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Соляник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А. 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i/>
                <w:iCs/>
                <w:sz w:val="20"/>
                <w:szCs w:val="20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1998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ab/>
              <w:t xml:space="preserve">         Розглянувши заяву </w:t>
            </w:r>
            <w:proofErr w:type="spellStart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Крижановського</w:t>
            </w:r>
            <w:proofErr w:type="spellEnd"/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 xml:space="preserve"> О.О.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i/>
                <w:iCs/>
                <w:sz w:val="20"/>
                <w:szCs w:val="20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Миронова А.О.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1999</w:t>
            </w:r>
          </w:p>
        </w:tc>
      </w:tr>
      <w:tr w:rsidR="004E59F5" w:rsidRPr="004E59F5" w:rsidTr="00432DA2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contextualSpacing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В</w:t>
            </w:r>
          </w:p>
        </w:tc>
        <w:tc>
          <w:tcPr>
            <w:tcW w:w="6365" w:type="dxa"/>
          </w:tcPr>
          <w:p w:rsidR="004E59F5" w:rsidRPr="004E59F5" w:rsidRDefault="004E59F5" w:rsidP="004E59F5">
            <w:pPr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Виступи, звернення:</w:t>
            </w:r>
          </w:p>
          <w:p w:rsidR="004E59F5" w:rsidRPr="004E59F5" w:rsidRDefault="004E59F5" w:rsidP="004E59F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</w:rPr>
            </w:pPr>
            <w:r w:rsidRPr="004E59F5">
              <w:rPr>
                <w:rFonts w:ascii="Times New Roman" w:hAnsi="Times New Roman"/>
                <w:iCs/>
                <w:sz w:val="27"/>
                <w:szCs w:val="27"/>
              </w:rPr>
              <w:t>Муха І.В.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F5" w:rsidRPr="004E59F5" w:rsidRDefault="004E59F5" w:rsidP="004E59F5">
            <w:pPr>
              <w:tabs>
                <w:tab w:val="left" w:pos="-142"/>
              </w:tabs>
              <w:rPr>
                <w:rFonts w:ascii="Times New Roman" w:hAnsi="Times New Roman"/>
                <w:iCs/>
                <w:sz w:val="27"/>
                <w:szCs w:val="27"/>
              </w:rPr>
            </w:pPr>
          </w:p>
        </w:tc>
      </w:tr>
    </w:tbl>
    <w:p w:rsidR="004E59F5" w:rsidRPr="004E59F5" w:rsidRDefault="004E59F5" w:rsidP="004E59F5">
      <w:pPr>
        <w:widowControl w:val="0"/>
        <w:suppressAutoHyphens/>
        <w:autoSpaceDN w:val="0"/>
        <w:spacing w:after="0" w:line="240" w:lineRule="auto"/>
        <w:ind w:left="-426" w:hanging="426"/>
        <w:jc w:val="both"/>
        <w:rPr>
          <w:rFonts w:ascii="Times New Roman" w:eastAsia="Calibri" w:hAnsi="Times New Roman" w:cs="Times New Roman"/>
          <w:b/>
          <w:color w:val="000000"/>
          <w:kern w:val="3"/>
          <w:sz w:val="28"/>
          <w:szCs w:val="28"/>
          <w:lang w:val="uk-UA" w:eastAsia="zh-CN" w:bidi="hi-IN"/>
        </w:rPr>
      </w:pPr>
    </w:p>
    <w:p w:rsidR="007436BA" w:rsidRDefault="007436BA">
      <w:bookmarkStart w:id="0" w:name="_GoBack"/>
      <w:bookmarkEnd w:id="0"/>
    </w:p>
    <w:sectPr w:rsidR="0074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A13F4"/>
    <w:multiLevelType w:val="hybridMultilevel"/>
    <w:tmpl w:val="38825DA0"/>
    <w:lvl w:ilvl="0" w:tplc="74C4DC54">
      <w:start w:val="19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C1"/>
    <w:rsid w:val="004E59F5"/>
    <w:rsid w:val="007436BA"/>
    <w:rsid w:val="0079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30E58-BDC7-4FB5-A8A8-3BB275B8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9F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2026-01-29T20:52:00Z</dcterms:created>
  <dcterms:modified xsi:type="dcterms:W3CDTF">2026-01-29T20:52:00Z</dcterms:modified>
</cp:coreProperties>
</file>