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66" w:rsidRDefault="005C7966" w:rsidP="005C7966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 w:rsidRPr="00180FD6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Порядок денний</w:t>
      </w:r>
    </w:p>
    <w:p w:rsidR="005C7966" w:rsidRPr="00180FD6" w:rsidRDefault="005C7966" w:rsidP="005C7966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асідання </w:t>
      </w:r>
      <w:r w:rsidRPr="00180FD6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 </w:t>
      </w:r>
      <w:r w:rsidRPr="00180FD6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чергової 79 сесії </w:t>
      </w:r>
    </w:p>
    <w:p w:rsidR="005C7966" w:rsidRPr="00180FD6" w:rsidRDefault="005C7966" w:rsidP="005C7966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180FD6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80FD6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Зеленодольської</w:t>
      </w:r>
      <w:proofErr w:type="spellEnd"/>
      <w:r w:rsidRPr="00180FD6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міської ради VIIІ скликання </w:t>
      </w:r>
    </w:p>
    <w:p w:rsidR="005C7966" w:rsidRPr="00180FD6" w:rsidRDefault="005C7966" w:rsidP="005C7966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180FD6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від 29 квітня 2025 року</w:t>
      </w:r>
    </w:p>
    <w:p w:rsidR="005C7966" w:rsidRPr="00180FD6" w:rsidRDefault="005C7966" w:rsidP="005C7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tblpX="-890" w:tblpY="1"/>
        <w:tblOverlap w:val="never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5"/>
        <w:gridCol w:w="6765"/>
        <w:gridCol w:w="9"/>
        <w:gridCol w:w="29"/>
        <w:gridCol w:w="2098"/>
        <w:gridCol w:w="28"/>
        <w:gridCol w:w="993"/>
      </w:tblGrid>
      <w:tr w:rsidR="005C7966" w:rsidRPr="00180FD6" w:rsidTr="006909A2">
        <w:trPr>
          <w:trHeight w:val="9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з\п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Назва рішення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Доповідач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№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рішен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-ня</w:t>
            </w:r>
          </w:p>
        </w:tc>
      </w:tr>
      <w:tr w:rsidR="005C7966" w:rsidRPr="00180FD6" w:rsidTr="006909A2">
        <w:trPr>
          <w:trHeight w:val="15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внесення зміни до  Програми підтримки військових частин  Збройних Сил України, Національної гвардії України  на 2025 рік, затвердженої рішенням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від 21 лютого 2025 року №1805.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ind w:firstLine="34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Горбань В.В.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1890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bCs/>
                <w:i w:val="0"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180FD6">
              <w:rPr>
                <w:rFonts w:ascii="Times New Roman" w:hAnsi="Times New Roman"/>
                <w:bCs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bCs/>
                <w:i w:val="0"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А1836  Збройних Сил України.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1891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bCs/>
                <w:i w:val="0"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180FD6">
              <w:rPr>
                <w:rFonts w:ascii="Times New Roman" w:hAnsi="Times New Roman"/>
                <w:bCs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bCs/>
                <w:i w:val="0"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А3102 Збройних Сил України.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highlight w:val="yellow"/>
              </w:rPr>
            </w:pPr>
            <w:r w:rsidRPr="00037F28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1892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А3316  Збройних Сил України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ind w:firstLine="34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1893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затвердження Програми підтримки Криворізького районного територіального центру комплектування та соціальної підтримки на 2025 рік.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ind w:firstLine="34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1894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передачу субвенції Криворізькому районному територіальному центру комплектування та соціальної підтримки та порядок використання.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1895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 внесення змін до програми розвитку житлово-комунального господарства та благоустрою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 міської територіальної громади на 2025  рік затвердженої рішенням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від 24 грудня 2024 року №1733.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1896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внесення змін до програми утримання та ремонту автомобільних доріг загального користування місцевого значення та доріг комунальної власності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територіальної громади на 2025 рік, затвердженої рішенням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від 24 грудня 2024 року №1734.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1897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затвердження висновку фінансового відділу про перевиконання дохідної частини загального фонду бюджету за підсумками  І кварталу 2025 року.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ind w:firstLine="34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1898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966" w:rsidRPr="00E80B8B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  <w:shd w:val="clear" w:color="auto" w:fill="auto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highlight w:val="yellow"/>
              </w:rPr>
            </w:pPr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 внесення змін до  програми підтримки та розвитку молоді </w:t>
            </w:r>
            <w:proofErr w:type="spellStart"/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територіальної громади на 2025-2026 рік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1899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E80B8B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E80B8B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внесення змін до  програми профілактики злочинності і правопорушень на території </w:t>
            </w:r>
            <w:proofErr w:type="spellStart"/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територіальної громади на 2025  рік, затвердженої рішенням сесії №1738 від 24 грудня 2024 року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ind w:firstLine="34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1900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E80B8B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E80B8B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>Про внесення змін до Програми розвитку та фінансової підтримки комунального некомерційного підприємства "</w:t>
            </w:r>
            <w:proofErr w:type="spellStart"/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>Зеленодольський</w:t>
            </w:r>
            <w:proofErr w:type="spellEnd"/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 xml:space="preserve"> центр первинної медико-санітарної допомоги" </w:t>
            </w:r>
            <w:proofErr w:type="spellStart"/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E80B8B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на 2025-2027 роки від 24 грудня 2024 року №1741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1901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«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Зеленодольський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міський водоканал» на 2025 рік, затвердженої рішенням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від 24.12.2024 № 1746.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Постна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Т.Г.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1902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Зеленодольський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міський водоканал» на 2025 рік, затвердженої рішенням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від 24.12.2024р №1744.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Постна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1903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збільшення розміру статутного капіталу комунального підприємства  «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Зеленодольський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міський водоканал».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Постна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1904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ненарахування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земельного податку.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Постна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Т.Г.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1905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внесення змін до Програми (Плану) соціально-економічного розвитку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територіальної громади на 2025 рік, затвердженої рішенням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від 28.01.2025 року № 1770.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Постна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1906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внесення змін до Статуту комунального закладу культури «Зеленодольська міська бібліотека»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та затвердження Статуту в новій редакції.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1907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внесення змін до Статуту комунального закладу «Комплексна дитячо-юнацька спортивна школа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 w:val="0"/>
                <w:sz w:val="26"/>
                <w:szCs w:val="26"/>
              </w:rPr>
              <w:t>міської ради» та затвердження С</w:t>
            </w: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татуту у новій редакції.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1908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внесення змін до Статуту комунального закладу «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Мар’янський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центр культури та дозвілля»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Дніпропетро</w:t>
            </w:r>
            <w:r>
              <w:rPr>
                <w:rFonts w:ascii="Times New Roman" w:hAnsi="Times New Roman"/>
                <w:i w:val="0"/>
                <w:sz w:val="26"/>
                <w:szCs w:val="26"/>
              </w:rPr>
              <w:t>вської області та затвердження С</w:t>
            </w: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татуту у новій редакції.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1909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внесення змін до Статуту комунального закладу «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Зеленодольський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палац культури»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та затвердження Статуту в новій редакції.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1910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затвердження персонального складу новоствореної Молодіжної ради при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Зеленодольській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міській раді та затвердження положення «Про Молодіжну раду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ради» в новій редакції.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1911</w:t>
            </w:r>
          </w:p>
        </w:tc>
      </w:tr>
      <w:tr w:rsidR="005C7966" w:rsidRPr="002D5B08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прийняття на баланс виконавчого комітету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та передачу на баланс відділу освіти, культури, спорту та молодіжної політики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Новікова О.П.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1912</w:t>
            </w:r>
          </w:p>
        </w:tc>
      </w:tr>
      <w:tr w:rsidR="005C7966" w:rsidRPr="002D5B08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передачу майна з балансу виконавчого комітету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на баланс відділу освіти, культури, спорту та молодіжної політики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Новікова О.П.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1913</w:t>
            </w:r>
          </w:p>
        </w:tc>
      </w:tr>
      <w:tr w:rsidR="005C7966" w:rsidRPr="002D5B08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Про прийняття на баланс</w:t>
            </w: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виконавчого комітету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</w:t>
            </w:r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 та передачу</w:t>
            </w: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на баланс</w:t>
            </w:r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 КНП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</w:rPr>
              <w:t>З</w:t>
            </w: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еленодольськи</w:t>
            </w:r>
            <w:r>
              <w:rPr>
                <w:rFonts w:ascii="Times New Roman" w:hAnsi="Times New Roman"/>
                <w:i w:val="0"/>
                <w:sz w:val="26"/>
                <w:szCs w:val="26"/>
              </w:rPr>
              <w:t>й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 центр первинної медико-санітарної допомоги» </w:t>
            </w: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Новікова О.П.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1914</w:t>
            </w:r>
          </w:p>
        </w:tc>
      </w:tr>
      <w:tr w:rsidR="005C7966" w:rsidRPr="002D5B08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Про передачу майна на баланс</w:t>
            </w: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відділу освіти, культури, спорту та молодіжної політики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</w:rPr>
              <w:t>Цицюра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1915</w:t>
            </w:r>
          </w:p>
        </w:tc>
      </w:tr>
      <w:tr w:rsidR="005C7966" w:rsidRPr="002D5B08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EE69CA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внесення змін до Положення про преміювання працівників виконавчого комітету </w:t>
            </w:r>
            <w:proofErr w:type="spellStart"/>
            <w:r w:rsidRPr="00EE69CA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EE69CA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та умов оплати праці міського голови.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</w:rPr>
              <w:t>Цицюра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1916</w:t>
            </w:r>
          </w:p>
        </w:tc>
      </w:tr>
      <w:tr w:rsidR="005C7966" w:rsidRPr="002D5B08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EE69CA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від 30.11.2020 р. №11 «Про утворення виконавчого комітету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 VIII скликання» (зі змінами)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</w:rPr>
              <w:t>Цицюра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1917</w:t>
            </w:r>
          </w:p>
        </w:tc>
      </w:tr>
      <w:tr w:rsidR="005C7966" w:rsidRPr="002D5B08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Про затвердження Положення про використання коштів резервного фонду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територіальної громади.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ind w:firstLine="34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1918</w:t>
            </w:r>
          </w:p>
        </w:tc>
      </w:tr>
      <w:tr w:rsidR="005C7966" w:rsidRPr="002D5B08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5C796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6803" w:type="dxa"/>
            <w:gridSpan w:val="3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EE69CA">
              <w:rPr>
                <w:rFonts w:ascii="Times New Roman" w:hAnsi="Times New Roman"/>
                <w:i w:val="0"/>
                <w:sz w:val="26"/>
                <w:szCs w:val="26"/>
              </w:rPr>
              <w:t>Про внесення змін до рішення міської ради від 24 грудня 2024 року № 1758 «Про бюджет міської територіальної громади на 2025 рік».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ind w:firstLine="34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Горбань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1919</w:t>
            </w:r>
          </w:p>
        </w:tc>
      </w:tr>
      <w:tr w:rsidR="005C7966" w:rsidRPr="00180FD6" w:rsidTr="006909A2">
        <w:trPr>
          <w:trHeight w:val="567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Блок земельних питань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31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втрату чинності рішенням </w:t>
            </w:r>
            <w:r w:rsidRPr="00EE69CA">
              <w:rPr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proofErr w:type="spellStart"/>
            <w:r w:rsidRPr="00EE69CA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EE69CA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1920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32</w:t>
            </w:r>
          </w:p>
        </w:tc>
        <w:tc>
          <w:tcPr>
            <w:tcW w:w="6774" w:type="dxa"/>
            <w:gridSpan w:val="2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 за рахунок земельної ділянки з кадастровим номером 1220310300:02:015:0030,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Зеленодольської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міської  територіальної громади.</w:t>
            </w:r>
          </w:p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Розглянувши заяву фізичної особи-підприємця Фертик Надії Романівни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1921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lastRenderedPageBreak/>
              <w:t>33</w:t>
            </w:r>
          </w:p>
        </w:tc>
        <w:tc>
          <w:tcPr>
            <w:tcW w:w="6774" w:type="dxa"/>
            <w:gridSpan w:val="2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 орієнтовною площею 0,0067 га.</w:t>
            </w:r>
          </w:p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Розглянувши заяву фізичної особи - підприємця 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Логінової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Інни Іванівни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1922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34</w:t>
            </w:r>
          </w:p>
        </w:tc>
        <w:tc>
          <w:tcPr>
            <w:tcW w:w="6774" w:type="dxa"/>
            <w:gridSpan w:val="2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передачу земельної ділянки в оренду.  </w:t>
            </w:r>
          </w:p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Розглянувши заяву громадянина України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Старанковича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Миколи Дмитровича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1923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35</w:t>
            </w:r>
          </w:p>
        </w:tc>
        <w:tc>
          <w:tcPr>
            <w:tcW w:w="6774" w:type="dxa"/>
            <w:gridSpan w:val="2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ділянка).</w:t>
            </w:r>
          </w:p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Розглянувши заяву громадянки України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Терлецькой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Тетяни Миколаївни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1924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36</w:t>
            </w:r>
          </w:p>
        </w:tc>
        <w:tc>
          <w:tcPr>
            <w:tcW w:w="6774" w:type="dxa"/>
            <w:gridSpan w:val="2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земельної ділянки  комунальної власності для експлуатації та догляду за водними об’єктами за межами с. Мар’ </w:t>
            </w: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янське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 Криворізького району Дніпропетровської області.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1925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37</w:t>
            </w:r>
          </w:p>
        </w:tc>
        <w:tc>
          <w:tcPr>
            <w:tcW w:w="6774" w:type="dxa"/>
            <w:gridSpan w:val="2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затвердження технічної документації із землеустрою щодо встановлення  меж земельної ділянки,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призначення.</w:t>
            </w:r>
          </w:p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Розглянувши заяву фізичної особи-підприємця Ткаченко Максима Володимировича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1926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38</w:t>
            </w:r>
          </w:p>
        </w:tc>
        <w:tc>
          <w:tcPr>
            <w:tcW w:w="6774" w:type="dxa"/>
            <w:gridSpan w:val="2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затвердження технічної документації із землеустрою щодо встановлення  меж земельної ділянки,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           </w:t>
            </w:r>
          </w:p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Розглянувши заяву фізичної особи-підприємця Ткаченко Максима Володимировича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1927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39</w:t>
            </w:r>
          </w:p>
        </w:tc>
        <w:tc>
          <w:tcPr>
            <w:tcW w:w="6774" w:type="dxa"/>
            <w:gridSpan w:val="2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затвердження проекту землеустрою щодо відведення земельної ділянки комунальної власності з кадастровим номером 1220310300:02:005:0002, орендованої АТ «ДТЕК ДНІПРОЕНЕРГО», у зв’язку зі зміною цільового призначення земельної ділянки.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1928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40</w:t>
            </w:r>
          </w:p>
        </w:tc>
        <w:tc>
          <w:tcPr>
            <w:tcW w:w="6774" w:type="dxa"/>
            <w:gridSpan w:val="2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Про затвердження проекту землеустрою щодо відведення земельної ділянки комунальної власності з кадастровим номером 1220310300:02:003:0003, орендованої АТ «ДТЕК ДНІПРОЕНЕРГО», у зв’язку зі зміною цільового призначення земельної ділянки.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1929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41</w:t>
            </w:r>
          </w:p>
        </w:tc>
        <w:tc>
          <w:tcPr>
            <w:tcW w:w="6774" w:type="dxa"/>
            <w:gridSpan w:val="2"/>
          </w:tcPr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Про затвердження проекту землеустрою щодо відведення земельної ділянки комунальної власності з кадастровим </w:t>
            </w: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lastRenderedPageBreak/>
              <w:t>номером 1220310300:02:013:0007, орендованої АТ «ДТЕК ДНІПРОЕНЕРГО», у зв’язку зі зміною цільового призначення земельної ділянки.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proofErr w:type="spellStart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lastRenderedPageBreak/>
              <w:t>Алєксєєнко</w:t>
            </w:r>
            <w:proofErr w:type="spellEnd"/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 xml:space="preserve"> А.О.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>1930</w:t>
            </w:r>
          </w:p>
        </w:tc>
      </w:tr>
      <w:tr w:rsidR="005C7966" w:rsidRPr="00180FD6" w:rsidTr="006909A2">
        <w:trPr>
          <w:trHeight w:val="5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  <w:tab w:val="left" w:pos="39"/>
              </w:tabs>
              <w:spacing w:after="0" w:line="240" w:lineRule="auto"/>
              <w:ind w:left="11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lastRenderedPageBreak/>
              <w:t>42</w:t>
            </w:r>
          </w:p>
        </w:tc>
        <w:tc>
          <w:tcPr>
            <w:tcW w:w="6774" w:type="dxa"/>
            <w:gridSpan w:val="2"/>
          </w:tcPr>
          <w:p w:rsidR="005C796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80FD6">
              <w:rPr>
                <w:rFonts w:ascii="Times New Roman" w:hAnsi="Times New Roman"/>
                <w:i w:val="0"/>
                <w:sz w:val="26"/>
                <w:szCs w:val="26"/>
              </w:rPr>
              <w:t>Виступи, звернення:</w:t>
            </w:r>
          </w:p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</w:rPr>
              <w:t>Моніч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 В.В.</w:t>
            </w:r>
          </w:p>
          <w:p w:rsidR="005C7966" w:rsidRPr="00180FD6" w:rsidRDefault="005C7966" w:rsidP="006909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66" w:rsidRPr="00180FD6" w:rsidRDefault="005C7966" w:rsidP="006909A2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</w:rPr>
            </w:pPr>
          </w:p>
        </w:tc>
      </w:tr>
    </w:tbl>
    <w:p w:rsidR="005C7966" w:rsidRPr="00180FD6" w:rsidRDefault="005C7966" w:rsidP="005C7966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6"/>
          <w:szCs w:val="26"/>
          <w:lang w:val="uk-UA"/>
        </w:rPr>
      </w:pPr>
    </w:p>
    <w:p w:rsidR="00510059" w:rsidRPr="005C7966" w:rsidRDefault="00510059">
      <w:pPr>
        <w:rPr>
          <w:lang w:val="uk-UA"/>
        </w:rPr>
      </w:pPr>
    </w:p>
    <w:sectPr w:rsidR="00510059" w:rsidRPr="005C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6D"/>
    <w:rsid w:val="00510059"/>
    <w:rsid w:val="005C7966"/>
    <w:rsid w:val="00C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CD23"/>
  <w15:chartTrackingRefBased/>
  <w15:docId w15:val="{91D6B605-437F-427B-AC94-A0E8437A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966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96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2026-01-29T15:14:00Z</dcterms:created>
  <dcterms:modified xsi:type="dcterms:W3CDTF">2026-01-29T15:14:00Z</dcterms:modified>
</cp:coreProperties>
</file>