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51CB1" w:rsidRDefault="00551CB1" w:rsidP="00551CB1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551CB1" w:rsidRDefault="00551CB1" w:rsidP="0055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2F57E2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63F2" w:rsidRPr="007A2513" w:rsidRDefault="001A2F0C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1A2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Реєстрація декларації про готовність до експлуатації самочинно збудованого об`єкта, на яке визнано право власності за рішенням суду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16115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2D4D8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2D4D82" w:rsidRPr="00332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2D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прийняття в експлуатацію закінчених буді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2D4D82" w:rsidRPr="002D4D8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ництвом об'єктів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№461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4D82" w:rsidRPr="002D4D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прийняття в експлуатацію закінчених будівництвом об'єктів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Підстава для одержання 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8B10FC" w:rsidRPr="002D4D82" w:rsidRDefault="00DB409D" w:rsidP="002D4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n33"/>
            <w:bookmarkEnd w:id="0"/>
            <w:r w:rsidRPr="002D4D8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готовність до експлу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тації самочинно збудованого об`єкта, на яке визнано право власності за рішенням суду</w:t>
            </w:r>
            <w:r w:rsidR="001A2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F57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встановленою фо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7708C8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мою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наведеною у додатку</w:t>
            </w:r>
            <w:r w:rsidR="002D4D8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A2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3229E2" w:rsidRPr="002D4D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Порядку</w:t>
            </w:r>
          </w:p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2D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2D4D82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Десять робочих днів</w:t>
            </w:r>
          </w:p>
        </w:tc>
      </w:tr>
      <w:tr w:rsidR="00143AA6" w:rsidRPr="00E255E8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2D4D8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2D4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декларації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порушенням уст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новлених вимог</w:t>
            </w:r>
          </w:p>
        </w:tc>
      </w:tr>
      <w:tr w:rsidR="00143AA6" w:rsidRPr="00B6336C" w:rsidTr="00E734F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A2F0C" w:rsidRDefault="007708C8" w:rsidP="00E73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</w:t>
            </w:r>
            <w:r w:rsidR="002F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готовність до експлуатації самочинно збудованого об`єкта, на яке визнано право власності за рішенням с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1A2F0C"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08C8" w:rsidRPr="001A2F0C" w:rsidRDefault="007708C8" w:rsidP="001A2F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щодо зареєстрован</w:t>
            </w:r>
            <w:r w:rsidRPr="001A2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734F4" w:rsidRPr="001A2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ї </w:t>
            </w:r>
            <w:r w:rsidR="002F57E2" w:rsidRPr="002F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декларації 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гото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2F0C" w:rsidRPr="00A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ність до експлуатації самочинно збудованого об`єкта, на яке визнано право власності за рішенням суду</w:t>
            </w:r>
            <w:r w:rsidR="001A2F0C"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ється на офіційному сайті Держархбудінспекції у розділі "Реєстр дозвільних документів"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ментів, що дають право на виконання підготовчих та будівельних робіт і засвідчують прийняття в експлуат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цію закінчених будівництвом об’єктів, відомостей про повернення на доопрацювання, відмову у видачі, скас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вання та анулювання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lastRenderedPageBreak/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3229E2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="00AB2C65" w:rsidRPr="00B76510">
        <w:rPr>
          <w:rFonts w:ascii="Times New Roman" w:hAnsi="Times New Roman" w:cs="Times New Roman"/>
          <w:color w:val="000000"/>
        </w:rPr>
        <w:t>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E734F4" w:rsidRDefault="002637F1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2D2856" w:rsidRPr="00E734F4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Pr="00E73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954" w:rsidRPr="00E7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реєстру  інформацію, </w:t>
      </w:r>
      <w:r w:rsidR="00E4495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зазначену у 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 про г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товність до експлуатації самочинно збудованого об`єкта, на яке визнано пр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власності за рішенням суду</w:t>
      </w:r>
      <w:r w:rsidR="00E4495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734F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2F57E2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E734F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  <w:r w:rsidR="00E734F4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1305D0" w:rsidRPr="001A2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адресою: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A2F0C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E734F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A2F0C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 про готовність до експлуатації самочинно збудованого об`єкта, на яке визнано право власності за рішенням суду</w:t>
      </w:r>
      <w:r w:rsidR="001A2F0C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4954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встановленою фор</w:t>
      </w:r>
      <w:r w:rsidR="002F57E2" w:rsidRP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мою, наведеною</w:t>
      </w:r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додатку </w:t>
      </w:r>
      <w:r w:rsidR="001A2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2F5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637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Порядку</w:t>
      </w: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345B9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A2F0C" w:rsidRDefault="001A2F0C" w:rsidP="001A2F0C">
      <w:pPr>
        <w:pStyle w:val="a7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5</w:t>
      </w:r>
      <w:r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55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655"/>
      </w:tblGrid>
      <w:tr w:rsidR="001A2F0C" w:rsidTr="001A2F0C">
        <w:tc>
          <w:tcPr>
            <w:tcW w:w="5660" w:type="dxa"/>
          </w:tcPr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1A2F0C" w:rsidRDefault="001A2F0C" w:rsidP="001A2F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1A2F0C" w:rsidRDefault="001A2F0C" w:rsidP="001A2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_____________ 20__ р. № ________</w:t>
            </w:r>
          </w:p>
          <w:p w:rsidR="001A2F0C" w:rsidRDefault="001A2F0C" w:rsidP="001A2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0C" w:rsidRDefault="001A2F0C" w:rsidP="001A2F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 _</w:t>
            </w:r>
            <w:r w:rsidRPr="001A2F0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A2F0C" w:rsidRDefault="001A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F0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(підпис) </w:t>
            </w:r>
            <w:r w:rsidRPr="001A2F0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(ініціали та прізвище посадової особи)</w:t>
            </w:r>
          </w:p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2F0C" w:rsidRDefault="001A2F0C" w:rsidP="001A2F0C">
      <w:pPr>
        <w:pStyle w:val="a8"/>
        <w:spacing w:before="100" w:beforeAutospacing="1" w:after="100" w:afterAutospacing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ДЕКЛАРАЦІЯ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про готовність до експлуатації самочинно збудованого </w:t>
      </w:r>
      <w:r>
        <w:rPr>
          <w:rFonts w:ascii="Times New Roman" w:hAnsi="Times New Roman"/>
          <w:b w:val="0"/>
          <w:sz w:val="24"/>
          <w:szCs w:val="24"/>
        </w:rPr>
        <w:br/>
        <w:t>об’єкта, на яке визнано право власності за рішенням суду</w:t>
      </w:r>
    </w:p>
    <w:p w:rsidR="001A2F0C" w:rsidRDefault="001A2F0C" w:rsidP="001A2F0C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Інформація про об’єкт</w:t>
      </w:r>
    </w:p>
    <w:p w:rsidR="001A2F0C" w:rsidRDefault="001A2F0C" w:rsidP="001A2F0C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(адреса та найменування закінченого будівництвом об’єкта,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код об’єкта згідно з Державним класифікатором будівель та споруд ДК 018-2000;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 наслідків (відповідальності)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A2F0C" w:rsidRDefault="001A2F0C" w:rsidP="001A2F0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Інформація про замовника</w:t>
      </w:r>
    </w:p>
    <w:p w:rsidR="001A2F0C" w:rsidRDefault="001A2F0C" w:rsidP="001A2F0C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місце проживання, номер облікової картки платника податків (не зазначається фізичними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особами, які через свої релігійні переконання відмовляються від прийняття реєстраційного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номера облікової картки платника податків та повідомили про це відповідному контролюючому органу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і мають відмітку у паспорті); найменування юридичної особи,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місцезнаходження, код платника податків згідно з ЄДРПОУ або податковий номер;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Інформація про керівника замовника - юридичну особу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 серія і номер паспорта, ким і коли виданий,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 особами,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 від прийняття реєстраційного номера</w:t>
      </w:r>
    </w:p>
    <w:p w:rsidR="001A2F0C" w:rsidRDefault="001A2F0C" w:rsidP="001A2F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облікової картки платника податків та повідомили про це відповідному контролюючому органу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 мають відмітку у паспорті; номер телефону)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Інформація про генерального підрядника (підрядника - у разі, коли будівельні роб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 виконуються без залучення субпідрядників)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серія і номер паспорта, ким і коли виданий, місце проживання, номер облікової картки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платника податків (не зазначається фізичними особами, які через свої релігійні переконання 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відмовляються від прийняття реєстраційного номера облікової картки платника податків та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повідомили про це відповідному контролюючому органу і мають відмітку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паспорті); найменування юридичної особи, місцезнаходження, код платника податків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згідно з ЄДРПОУ або податковий номер; номер телефону)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Інформація про осіб, відповідальних за виконання робіт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37"/>
        <w:gridCol w:w="3095"/>
      </w:tblGrid>
      <w:tr w:rsidR="001A2F0C" w:rsidTr="001A2F0C"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посади,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звище, ім’я та по батькові, номер телефону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номер та дата видачі документа, що підтверджує повноваження особи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конання робіт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 виконаних під кері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ництвом відповідальної особи робіт</w:t>
            </w:r>
          </w:p>
        </w:tc>
      </w:tr>
    </w:tbl>
    <w:p w:rsidR="001A2F0C" w:rsidRDefault="001A2F0C" w:rsidP="001A2F0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Інформація про звіт технічного обстеження щодо можливості надійної та безпечної експлуатації об’єкта ____________________________________________________________</w:t>
      </w:r>
    </w:p>
    <w:p w:rsidR="001A2F0C" w:rsidRDefault="001A2F0C" w:rsidP="001A2F0C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(назва, дата, номер технічного звіту,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найменування експертної організації; прізвище, ім’я, по батькові, серія і номер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кваліфікаційного сертифіката, номер телефону)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Інформація щодо відповідності місця розташування об’єкта вимогам державних 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дівельних норм, отримана виконавцем від місцевого органу містобудування та архітект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ри, - ________________________________________________________________________</w:t>
      </w:r>
    </w:p>
    <w:p w:rsidR="001A2F0C" w:rsidRDefault="001A2F0C" w:rsidP="001A2F0C">
      <w:pPr>
        <w:shd w:val="clear" w:color="auto" w:fill="FFFFFF"/>
        <w:spacing w:after="0"/>
        <w:ind w:left="2832" w:firstLine="708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(найменування місцевого органу містобудування та</w:t>
      </w:r>
    </w:p>
    <w:p w:rsidR="001A2F0C" w:rsidRDefault="001A2F0C" w:rsidP="001A2F0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_________________________________________________________________________________________.</w:t>
      </w:r>
    </w:p>
    <w:p w:rsidR="001A2F0C" w:rsidRDefault="001A2F0C" w:rsidP="001A2F0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архітектури, дата та реєстраційний номер документа (лист, довідка тощо)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Інформація про рішення суду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2"/>
        <w:gridCol w:w="3185"/>
        <w:gridCol w:w="2764"/>
      </w:tblGrid>
      <w:tr w:rsidR="001A2F0C" w:rsidTr="001A2F0C"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судового рішення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танова, ухвала суду тощо), дата ухвалення рішення,</w:t>
            </w:r>
          </w:p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судової справи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набрання судовим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шенням законної сили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F0C" w:rsidRDefault="001A2F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суду</w:t>
            </w:r>
          </w:p>
        </w:tc>
      </w:tr>
    </w:tbl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Інформація про об’єкт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0"/>
        <w:gridCol w:w="5831"/>
      </w:tblGrid>
      <w:tr w:rsidR="001A2F0C" w:rsidTr="001A2F0C">
        <w:tc>
          <w:tcPr>
            <w:tcW w:w="1954" w:type="pct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3046" w:type="pct"/>
            <w:hideMark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______________________________________.</w:t>
            </w:r>
          </w:p>
        </w:tc>
      </w:tr>
      <w:tr w:rsidR="001A2F0C" w:rsidTr="001A2F0C">
        <w:tc>
          <w:tcPr>
            <w:tcW w:w="1954" w:type="pct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початку будівництва</w:t>
            </w:r>
          </w:p>
        </w:tc>
        <w:tc>
          <w:tcPr>
            <w:tcW w:w="3046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______________________________________.</w:t>
            </w:r>
          </w:p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954" w:type="pct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закінчення будівництва</w:t>
            </w:r>
          </w:p>
        </w:tc>
        <w:tc>
          <w:tcPr>
            <w:tcW w:w="3046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______________________________________.</w:t>
            </w:r>
          </w:p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0C" w:rsidRDefault="001A2F0C" w:rsidP="001A2F0C">
      <w:pPr>
        <w:pStyle w:val="a4"/>
        <w:ind w:firstLine="0"/>
        <w:jc w:val="both"/>
        <w:rPr>
          <w:rFonts w:cs="Antiqua"/>
        </w:rPr>
      </w:pPr>
      <w:r>
        <w:rPr>
          <w:rFonts w:ascii="Times New Roman" w:hAnsi="Times New Roman"/>
          <w:sz w:val="24"/>
          <w:szCs w:val="24"/>
        </w:rPr>
        <w:t>10. Інформація про документ, що посвідчує право власності чи користування земельною ділянкою _______________________________________________________________________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(дата, серія, номер документа,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2F0C" w:rsidRDefault="001A2F0C" w:rsidP="001A2F0C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номер договору суперфіцію (необхідне зазначити)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1A2F0C" w:rsidRDefault="001A2F0C" w:rsidP="001A2F0C">
      <w:pPr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та кадастровий номер земельної ділянки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Інформація про проведену технічну інвентаризацію об’єкта</w:t>
      </w:r>
    </w:p>
    <w:p w:rsidR="001A2F0C" w:rsidRDefault="001A2F0C" w:rsidP="001A2F0C">
      <w:pPr>
        <w:spacing w:before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(прізвище, ім’я та по батькові особи, що провела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технічну інвентаризацію, дата видачі, номер паспорта технічної інвентаризації)</w:t>
      </w:r>
    </w:p>
    <w:p w:rsidR="001A2F0C" w:rsidRDefault="001A2F0C" w:rsidP="001A2F0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Техніко-економічні показники об’єкта (з урахуванням результатів технічної інвент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ризації)</w:t>
      </w:r>
    </w:p>
    <w:p w:rsidR="001A2F0C" w:rsidRDefault="001A2F0C" w:rsidP="001A2F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об’єкта: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несучі конструкції 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___________________________;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огороджувальні конструкції 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________________________;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фасади 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:rsidR="001A2F0C" w:rsidRDefault="001A2F0C" w:rsidP="001A2F0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6627"/>
      </w:tblGrid>
      <w:tr w:rsidR="001A2F0C" w:rsidRPr="001A2F0C" w:rsidTr="001A2F0C">
        <w:tc>
          <w:tcPr>
            <w:tcW w:w="1538" w:type="pct"/>
            <w:hideMark/>
          </w:tcPr>
          <w:p w:rsidR="001A2F0C" w:rsidRDefault="001A2F0C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інженерного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ладнання об’єкта:</w:t>
            </w:r>
          </w:p>
        </w:tc>
        <w:tc>
          <w:tcPr>
            <w:tcW w:w="3462" w:type="pct"/>
            <w:hideMark/>
          </w:tcPr>
          <w:p w:rsidR="001A2F0C" w:rsidRDefault="001A2F0C">
            <w:pPr>
              <w:spacing w:before="120"/>
              <w:ind w:firstLine="33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холодне та гаряче водопостачання, водовідведення, ліфт,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сміттєпровід, опалення: централізоване, пічне (необхідне пі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креслити), вид індивідуальних опалювальних установок (з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значити).</w:t>
            </w:r>
          </w:p>
        </w:tc>
      </w:tr>
      <w:tr w:rsidR="001A2F0C" w:rsidTr="001A2F0C">
        <w:tc>
          <w:tcPr>
            <w:tcW w:w="1538" w:type="pct"/>
            <w:hideMark/>
          </w:tcPr>
          <w:p w:rsidR="001A2F0C" w:rsidRDefault="001A2F0C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Загальна площа об’єкта, кв. метрів</w:t>
            </w:r>
          </w:p>
        </w:tc>
        <w:tc>
          <w:tcPr>
            <w:tcW w:w="3462" w:type="pct"/>
            <w:hideMark/>
          </w:tcPr>
          <w:p w:rsidR="001A2F0C" w:rsidRDefault="001A2F0C">
            <w:pPr>
              <w:spacing w:before="120"/>
              <w:rPr>
                <w:rFonts w:ascii="Times New Roman" w:hAnsi="Times New Roman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__________________________________________.</w:t>
            </w:r>
          </w:p>
        </w:tc>
      </w:tr>
    </w:tbl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Характеристика житлових будинків (з урахуванням результатів технічної інвент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ризації)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7186"/>
      </w:tblGrid>
      <w:tr w:rsidR="001A2F0C" w:rsidTr="001A2F0C">
        <w:tc>
          <w:tcPr>
            <w:tcW w:w="1246" w:type="pct"/>
            <w:hideMark/>
          </w:tcPr>
          <w:p w:rsidR="001A2F0C" w:rsidRDefault="001A2F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3754" w:type="pct"/>
            <w:hideMark/>
          </w:tcPr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__________________________________________________.</w:t>
            </w:r>
          </w:p>
        </w:tc>
      </w:tr>
      <w:tr w:rsidR="001A2F0C" w:rsidTr="001A2F0C">
        <w:tc>
          <w:tcPr>
            <w:tcW w:w="1246" w:type="pct"/>
            <w:hideMark/>
          </w:tcPr>
          <w:p w:rsidR="001A2F0C" w:rsidRDefault="001A2F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Матеріали стін</w:t>
            </w:r>
          </w:p>
        </w:tc>
        <w:tc>
          <w:tcPr>
            <w:tcW w:w="3754" w:type="pct"/>
            <w:hideMark/>
          </w:tcPr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__________________________________________________.</w:t>
            </w:r>
          </w:p>
        </w:tc>
      </w:tr>
      <w:tr w:rsidR="001A2F0C" w:rsidTr="001A2F0C">
        <w:tc>
          <w:tcPr>
            <w:tcW w:w="1246" w:type="pct"/>
            <w:hideMark/>
          </w:tcPr>
          <w:p w:rsidR="001A2F0C" w:rsidRDefault="001A2F0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секцій (за наявності)</w:t>
            </w:r>
          </w:p>
        </w:tc>
        <w:tc>
          <w:tcPr>
            <w:tcW w:w="3754" w:type="pct"/>
            <w:hideMark/>
          </w:tcPr>
          <w:p w:rsidR="001A2F0C" w:rsidRDefault="001A2F0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__________________________________________________.</w:t>
            </w: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квартир у житловому будинку та їх площа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4"/>
        <w:gridCol w:w="1413"/>
        <w:gridCol w:w="2222"/>
        <w:gridCol w:w="2617"/>
        <w:gridCol w:w="1905"/>
      </w:tblGrid>
      <w:tr w:rsidR="001A2F0C" w:rsidTr="001A2F0C">
        <w:trPr>
          <w:tblHeader/>
        </w:trPr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квартири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квартир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кв. метрів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Житлова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кв. метрів</w:t>
            </w:r>
          </w:p>
        </w:tc>
      </w:tr>
      <w:tr w:rsidR="001A2F0C" w:rsidTr="001A2F0C"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Однокімнатна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Чотирикімнатна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rPr>
          <w:trHeight w:val="232"/>
        </w:trPr>
        <w:tc>
          <w:tcPr>
            <w:tcW w:w="1476" w:type="pct"/>
            <w:gridSpan w:val="2"/>
            <w:hideMark/>
          </w:tcPr>
          <w:p w:rsidR="001A2F0C" w:rsidRDefault="001A2F0C">
            <w:pPr>
              <w:tabs>
                <w:tab w:val="right" w:pos="2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П’ятикімнатна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rPr>
          <w:trHeight w:val="236"/>
        </w:trPr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Шестикімнатна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Семикімнатна</w:t>
            </w:r>
          </w:p>
        </w:tc>
        <w:tc>
          <w:tcPr>
            <w:tcW w:w="1161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1476" w:type="pct"/>
            <w:gridSpan w:val="2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Восьмикімнатна і більше</w:t>
            </w: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0C" w:rsidTr="001A2F0C"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738" w:type="pct"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1A2F0C" w:rsidRDefault="001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вбудовано-прибудованих приміщень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житлового будинку, кв. метрів ________________________.</w:t>
      </w: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2938"/>
        <w:gridCol w:w="3107"/>
      </w:tblGrid>
      <w:tr w:rsidR="001A2F0C" w:rsidTr="001A2F0C"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Місця для постійного та тимч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сового зберігання автотрансп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ртних засобів, їх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кв. метрів</w:t>
            </w:r>
          </w:p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машиномісць</w:t>
            </w:r>
          </w:p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інших нежитлових приміщень (за наявності)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площа нежитлових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приміщень об’єкта, кв. метрів ______________________________________.</w:t>
      </w:r>
    </w:p>
    <w:p w:rsidR="001A2F0C" w:rsidRDefault="001A2F0C" w:rsidP="001A2F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3781"/>
        <w:gridCol w:w="2238"/>
      </w:tblGrid>
      <w:tr w:rsidR="001A2F0C" w:rsidTr="001A2F0C"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нежитлового приміщення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Функціональне призначення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житлового приміщення (для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лових будинків)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площа, технічні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</w:tr>
    </w:tbl>
    <w:p w:rsidR="001A2F0C" w:rsidRDefault="001A2F0C" w:rsidP="001A2F0C">
      <w:pPr>
        <w:ind w:left="70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13. Об’єкт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повнюється щодо всіх об’єктів в одиницях виміру з урахуванням цільової продукції або основних видів послуг)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431"/>
        <w:gridCol w:w="2243"/>
        <w:gridCol w:w="2092"/>
      </w:tblGrid>
      <w:tr w:rsidR="001A2F0C" w:rsidTr="001A2F0C">
        <w:tc>
          <w:tcPr>
            <w:tcW w:w="14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показники об’єкта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з технічним обстеженням</w:t>
            </w:r>
          </w:p>
        </w:tc>
      </w:tr>
      <w:tr w:rsidR="001A2F0C" w:rsidTr="001A2F0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0C" w:rsidRDefault="001A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F0C" w:rsidRDefault="001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кового комплексу або черги</w:t>
            </w:r>
          </w:p>
        </w:tc>
      </w:tr>
    </w:tbl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 об’єкті виконано всі роботи згідно з державними будівельними нормами,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дартами і правилами, у тому числі </w:t>
      </w:r>
      <w:r>
        <w:rPr>
          <w:rFonts w:ascii="Times New Roman" w:hAnsi="Times New Roman"/>
          <w:sz w:val="24"/>
          <w:szCs w:val="24"/>
        </w:rPr>
        <w:t>щодо створення безперешкодного життєвого серед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вища для осіб з інвалідністю та інших маломобільних груп населення</w:t>
      </w:r>
      <w:r>
        <w:rPr>
          <w:rFonts w:ascii="Times New Roman" w:hAnsi="Times New Roman" w:cs="Times New Roman"/>
          <w:sz w:val="24"/>
          <w:szCs w:val="24"/>
        </w:rPr>
        <w:t>. Обладнання вст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новлено у визначеному порядку.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Заходи з охорони праці, забезпечення вибухобезпеки, пожежної безпеки, охорони навколишнього природного середовища і антисейсмічні заходи, проведені в повному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сязі.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Кошторисна вартість будівництва становить ________ тис. гривень, у тому числі витрати на будівельні роботи ________ тис. гривень, витрати на машини, обладнання та інвентар _______ тис. гривень (за наявності).</w:t>
      </w:r>
    </w:p>
    <w:p w:rsidR="001A2F0C" w:rsidRDefault="001A2F0C" w:rsidP="001A2F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Вартість основних фондів, які приймаються в експлуатацію, _____ тис. гривень, у тому числі витрати на будівельні роботи _____ тис. гривень, витрати на машини, обла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нання та інвентар _____ тис. гривень.</w:t>
      </w:r>
    </w:p>
    <w:p w:rsidR="001A2F0C" w:rsidRDefault="001A2F0C" w:rsidP="001A2F0C">
      <w:pPr>
        <w:pStyle w:val="a4"/>
        <w:ind w:firstLine="426"/>
        <w:jc w:val="both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Кошти пайової участі у розвитку інженерно-транспортної та соціальної інфрастр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ктури населеного пункту відповідно до договору, укладеного </w:t>
      </w:r>
      <w:r>
        <w:rPr>
          <w:rFonts w:ascii="Times New Roman" w:hAnsi="Times New Roman"/>
          <w:sz w:val="24"/>
          <w:szCs w:val="24"/>
        </w:rPr>
        <w:br/>
        <w:t>______________</w:t>
      </w:r>
      <w:r w:rsidR="00A7199A">
        <w:rPr>
          <w:rFonts w:ascii="Times New Roman" w:hAnsi="Times New Roman"/>
          <w:sz w:val="24"/>
          <w:szCs w:val="24"/>
        </w:rPr>
        <w:t>_____ з 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A2F0C" w:rsidRDefault="001A2F0C" w:rsidP="001A2F0C">
      <w:pPr>
        <w:pStyle w:val="a4"/>
        <w:spacing w:before="0"/>
        <w:ind w:firstLine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 xml:space="preserve">(дата укладення договору)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(найменування органу місцевого самоврядування)</w:t>
      </w:r>
    </w:p>
    <w:p w:rsidR="001A2F0C" w:rsidRDefault="00A7199A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1A2F0C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1A2F0C" w:rsidRDefault="001A2F0C" w:rsidP="001A2F0C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сплачено в повному об</w:t>
      </w:r>
      <w:r w:rsidR="00A7199A">
        <w:rPr>
          <w:rFonts w:ascii="Times New Roman" w:hAnsi="Times New Roman"/>
          <w:sz w:val="24"/>
          <w:szCs w:val="24"/>
        </w:rPr>
        <w:t>сязі 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A2F0C" w:rsidRDefault="001A2F0C" w:rsidP="001A2F0C">
      <w:pPr>
        <w:pStyle w:val="a4"/>
        <w:spacing w:before="0"/>
        <w:ind w:firstLine="1843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(документи, що підтверджують сплату пайової участі)</w:t>
      </w:r>
    </w:p>
    <w:p w:rsidR="001A2F0C" w:rsidRDefault="00A7199A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1A2F0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lastRenderedPageBreak/>
        <w:t>(для замовників, які до сплати пайової участі не залучаються,</w:t>
      </w:r>
    </w:p>
    <w:p w:rsidR="001A2F0C" w:rsidRDefault="00A7199A" w:rsidP="001A2F0C">
      <w:pPr>
        <w:pStyle w:val="a4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A2F0C"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1A2F0C" w:rsidRDefault="001A2F0C" w:rsidP="001A2F0C">
      <w:pPr>
        <w:pStyle w:val="a4"/>
        <w:spacing w:before="0"/>
        <w:ind w:firstLine="426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</w:rPr>
        <w:t>зазначається підстава для звільнення)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F0C" w:rsidRDefault="001A2F0C" w:rsidP="001A2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ВВАЖАТИ ЗАКІНЧЕНИЙ БУДІВНИЦТВОМ </w:t>
      </w:r>
      <w:r>
        <w:rPr>
          <w:rFonts w:ascii="Times New Roman" w:hAnsi="Times New Roman" w:cs="Times New Roman"/>
          <w:sz w:val="24"/>
          <w:szCs w:val="24"/>
        </w:rPr>
        <w:br/>
        <w:t>ОБ’ЄКТ ГОТОВИМ ДО ЕКСПЛУАТАЦІЇ</w:t>
      </w:r>
    </w:p>
    <w:p w:rsidR="001A2F0C" w:rsidRDefault="001A2F0C" w:rsidP="001A2F0C">
      <w:pPr>
        <w:spacing w:before="100" w:line="228" w:lineRule="auto"/>
        <w:ind w:firstLine="567"/>
        <w:jc w:val="both"/>
        <w:rPr>
          <w:rFonts w:ascii="Times New Roman" w:hAnsi="Times New Roman" w:cs="Antiqua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сування та анулювання зазначених документів відповідно до Закону України “Про захист персональних даних” я</w:t>
      </w:r>
      <w:r w:rsidR="00A7199A">
        <w:rPr>
          <w:rFonts w:ascii="Times New Roman" w:hAnsi="Times New Roman"/>
          <w:sz w:val="24"/>
          <w:szCs w:val="24"/>
        </w:rPr>
        <w:t>, ________________________</w:t>
      </w:r>
      <w:r>
        <w:rPr>
          <w:rFonts w:ascii="Times New Roman" w:hAnsi="Times New Roman"/>
          <w:sz w:val="24"/>
          <w:szCs w:val="24"/>
        </w:rPr>
        <w:t>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(прізвище, ім’я та по батькові фізичної особи)</w:t>
      </w:r>
    </w:p>
    <w:p w:rsidR="001A2F0C" w:rsidRDefault="001A2F0C" w:rsidP="001A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1A2F0C" w:rsidRDefault="001A2F0C" w:rsidP="00A719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них у декларації про готовність об’єкта до експлуатації, встановлена відповідальність ві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повідно до закону.</w:t>
      </w:r>
    </w:p>
    <w:p w:rsidR="001A2F0C" w:rsidRDefault="001A2F0C" w:rsidP="001A2F0C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2"/>
        <w:gridCol w:w="3043"/>
        <w:gridCol w:w="3216"/>
      </w:tblGrid>
      <w:tr w:rsidR="001A2F0C" w:rsidTr="001A2F0C">
        <w:trPr>
          <w:trHeight w:val="591"/>
        </w:trPr>
        <w:tc>
          <w:tcPr>
            <w:tcW w:w="1737" w:type="pct"/>
            <w:hideMark/>
          </w:tcPr>
          <w:p w:rsidR="001A2F0C" w:rsidRDefault="001A2F0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596" w:type="pct"/>
            <w:hideMark/>
          </w:tcPr>
          <w:p w:rsidR="001A2F0C" w:rsidRDefault="001A2F0C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</w:p>
          <w:p w:rsidR="001A2F0C" w:rsidRDefault="001A2F0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7" w:type="pct"/>
            <w:hideMark/>
          </w:tcPr>
          <w:p w:rsidR="001A2F0C" w:rsidRDefault="001A2F0C">
            <w:pPr>
              <w:pStyle w:val="a4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</w:t>
            </w:r>
          </w:p>
          <w:p w:rsidR="001A2F0C" w:rsidRDefault="001A2F0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A2F0C" w:rsidRDefault="001A2F0C" w:rsidP="001A2F0C">
      <w:pPr>
        <w:pStyle w:val="a4"/>
        <w:spacing w:after="2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1A2F0C" w:rsidRDefault="001A2F0C" w:rsidP="001A2F0C">
      <w:pPr>
        <w:pStyle w:val="a4"/>
        <w:spacing w:before="0"/>
        <w:ind w:left="1247" w:hanging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1A2F0C" w:rsidRPr="00A7199A" w:rsidRDefault="001A2F0C" w:rsidP="001A2F0C">
      <w:pPr>
        <w:pStyle w:val="a4"/>
        <w:spacing w:before="0"/>
        <w:ind w:left="1276" w:hanging="127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Примітки.</w:t>
      </w:r>
      <w:r>
        <w:rPr>
          <w:rFonts w:ascii="Times New Roman" w:hAnsi="Times New Roman"/>
          <w:sz w:val="20"/>
        </w:rPr>
        <w:tab/>
      </w:r>
      <w:r w:rsidRPr="00A7199A">
        <w:rPr>
          <w:rFonts w:ascii="Times New Roman" w:hAnsi="Times New Roman"/>
          <w:sz w:val="20"/>
        </w:rPr>
        <w:t xml:space="preserve">1. </w:t>
      </w:r>
      <w:r w:rsidRPr="00A7199A">
        <w:rPr>
          <w:rFonts w:ascii="Times New Roman" w:hAnsi="Times New Roman"/>
          <w:color w:val="000000"/>
          <w:sz w:val="20"/>
        </w:rPr>
        <w:t>Кожна сторінка декларації підписується керівником замовника та засвідчується за наявно</w:t>
      </w:r>
      <w:r w:rsidRPr="00A7199A">
        <w:rPr>
          <w:rFonts w:ascii="Times New Roman" w:hAnsi="Times New Roman"/>
          <w:color w:val="000000"/>
          <w:sz w:val="20"/>
        </w:rPr>
        <w:t>с</w:t>
      </w:r>
      <w:r w:rsidRPr="00A7199A">
        <w:rPr>
          <w:rFonts w:ascii="Times New Roman" w:hAnsi="Times New Roman"/>
          <w:color w:val="000000"/>
          <w:sz w:val="20"/>
        </w:rPr>
        <w:t>ті печаткою замовника (для юридичної особи) або підписується замовником (для фізичної особи).</w:t>
      </w:r>
    </w:p>
    <w:p w:rsidR="001A2F0C" w:rsidRPr="00A7199A" w:rsidRDefault="001A2F0C" w:rsidP="001A2F0C">
      <w:pPr>
        <w:pStyle w:val="a4"/>
        <w:ind w:left="1276" w:firstLine="0"/>
        <w:jc w:val="both"/>
        <w:rPr>
          <w:rFonts w:ascii="Times New Roman" w:hAnsi="Times New Roman"/>
          <w:sz w:val="20"/>
        </w:rPr>
      </w:pPr>
      <w:r w:rsidRPr="00A7199A">
        <w:rPr>
          <w:rFonts w:ascii="Times New Roman" w:hAnsi="Times New Roman"/>
          <w:sz w:val="20"/>
        </w:rPr>
        <w:t xml:space="preserve">2. </w:t>
      </w:r>
      <w:r w:rsidRPr="00A7199A">
        <w:rPr>
          <w:rStyle w:val="rvts0"/>
          <w:rFonts w:ascii="Times New Roman" w:hAnsi="Times New Roman"/>
          <w:sz w:val="20"/>
        </w:rPr>
        <w:t>Реконструкція, реставрація або капітальний ремонт об’єктів будівництва без зміни зовні</w:t>
      </w:r>
      <w:r w:rsidRPr="00A7199A">
        <w:rPr>
          <w:rStyle w:val="rvts0"/>
          <w:rFonts w:ascii="Times New Roman" w:hAnsi="Times New Roman"/>
          <w:sz w:val="20"/>
        </w:rPr>
        <w:t>ш</w:t>
      </w:r>
      <w:r w:rsidRPr="00A7199A">
        <w:rPr>
          <w:rStyle w:val="rvts0"/>
          <w:rFonts w:ascii="Times New Roman" w:hAnsi="Times New Roman"/>
          <w:sz w:val="20"/>
        </w:rPr>
        <w:t>ніх геометричних розмірів їх фундаментів у плані, реконструкція або капітальний ремонт а</w:t>
      </w:r>
      <w:r w:rsidRPr="00A7199A">
        <w:rPr>
          <w:rStyle w:val="rvts0"/>
          <w:rFonts w:ascii="Times New Roman" w:hAnsi="Times New Roman"/>
          <w:sz w:val="20"/>
        </w:rPr>
        <w:t>в</w:t>
      </w:r>
      <w:r w:rsidRPr="00A7199A">
        <w:rPr>
          <w:rStyle w:val="rvts0"/>
          <w:rFonts w:ascii="Times New Roman" w:hAnsi="Times New Roman"/>
          <w:sz w:val="20"/>
        </w:rPr>
        <w:t>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</w:t>
      </w:r>
      <w:r w:rsidRPr="00A7199A">
        <w:rPr>
          <w:rStyle w:val="rvts0"/>
          <w:rFonts w:ascii="Times New Roman" w:hAnsi="Times New Roman"/>
          <w:sz w:val="20"/>
        </w:rPr>
        <w:t>р</w:t>
      </w:r>
      <w:r w:rsidRPr="00A7199A">
        <w:rPr>
          <w:rStyle w:val="rvts0"/>
          <w:rFonts w:ascii="Times New Roman" w:hAnsi="Times New Roman"/>
          <w:sz w:val="20"/>
        </w:rPr>
        <w:t>талів (мікрорайонів) застарілого житлового фонду і нове будівництво об’єктів інженерно-транспортної інфраструктури відповідно до містобудівної документації на замовлення орг</w:t>
      </w:r>
      <w:r w:rsidRPr="00A7199A">
        <w:rPr>
          <w:rStyle w:val="rvts0"/>
          <w:rFonts w:ascii="Times New Roman" w:hAnsi="Times New Roman"/>
          <w:sz w:val="20"/>
        </w:rPr>
        <w:t>а</w:t>
      </w:r>
      <w:r w:rsidRPr="00A7199A">
        <w:rPr>
          <w:rStyle w:val="rvts0"/>
          <w:rFonts w:ascii="Times New Roman" w:hAnsi="Times New Roman"/>
          <w:sz w:val="20"/>
        </w:rPr>
        <w:t>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документа, що засвідчує пр</w:t>
      </w:r>
      <w:r w:rsidRPr="00A7199A">
        <w:rPr>
          <w:rStyle w:val="rvts0"/>
          <w:rFonts w:ascii="Times New Roman" w:hAnsi="Times New Roman"/>
          <w:sz w:val="20"/>
        </w:rPr>
        <w:t>а</w:t>
      </w:r>
      <w:r w:rsidRPr="00A7199A">
        <w:rPr>
          <w:rStyle w:val="rvts0"/>
          <w:rFonts w:ascii="Times New Roman" w:hAnsi="Times New Roman"/>
          <w:sz w:val="20"/>
        </w:rPr>
        <w:t>во власності чи користування земельною ділянкою</w:t>
      </w:r>
      <w:r w:rsidRPr="00A7199A">
        <w:rPr>
          <w:rFonts w:ascii="Times New Roman" w:hAnsi="Times New Roman"/>
          <w:sz w:val="20"/>
        </w:rPr>
        <w:t>.</w:t>
      </w:r>
    </w:p>
    <w:p w:rsidR="001A2F0C" w:rsidRPr="001A2F0C" w:rsidRDefault="001A2F0C" w:rsidP="001A2F0C">
      <w:pPr>
        <w:rPr>
          <w:rFonts w:ascii="Antiqua" w:hAnsi="Antiqua" w:cs="Antiqua"/>
          <w:sz w:val="20"/>
          <w:szCs w:val="20"/>
        </w:rPr>
      </w:pPr>
    </w:p>
    <w:p w:rsidR="001A2F0C" w:rsidRPr="001A2F0C" w:rsidRDefault="001A2F0C" w:rsidP="001A2F0C">
      <w:pPr>
        <w:rPr>
          <w:sz w:val="20"/>
          <w:szCs w:val="20"/>
        </w:rPr>
      </w:pPr>
    </w:p>
    <w:p w:rsidR="001A2F0C" w:rsidRDefault="001A2F0C" w:rsidP="001A2F0C">
      <w:pPr>
        <w:jc w:val="both"/>
        <w:rPr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{Додаток 5 в редакції Постанови КМ № 750 від 08.09.2015; із змінами, внесеними згідно з Постановами КМ № 880 від 21.10.2015, № 409 від 07.06.2017}</w:t>
      </w:r>
    </w:p>
    <w:p w:rsidR="00E734F4" w:rsidRDefault="00E734F4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</w:p>
    <w:p w:rsidR="00A7199A" w:rsidRDefault="00A7199A" w:rsidP="00345B94">
      <w:pPr>
        <w:jc w:val="both"/>
        <w:rPr>
          <w:b/>
          <w:sz w:val="20"/>
          <w:szCs w:val="20"/>
          <w:lang w:val="ru-RU"/>
        </w:rPr>
      </w:pPr>
      <w:bookmarkStart w:id="1" w:name="_GoBack"/>
      <w:bookmarkEnd w:id="1"/>
    </w:p>
    <w:sectPr w:rsidR="00A7199A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16115"/>
    <w:rsid w:val="00044AAB"/>
    <w:rsid w:val="0007316A"/>
    <w:rsid w:val="000810A9"/>
    <w:rsid w:val="000A0818"/>
    <w:rsid w:val="000C257A"/>
    <w:rsid w:val="001305D0"/>
    <w:rsid w:val="0014111D"/>
    <w:rsid w:val="00143AA6"/>
    <w:rsid w:val="00195CF7"/>
    <w:rsid w:val="001A2F0C"/>
    <w:rsid w:val="001C61C8"/>
    <w:rsid w:val="00217D91"/>
    <w:rsid w:val="002637F1"/>
    <w:rsid w:val="002D2856"/>
    <w:rsid w:val="002D4D82"/>
    <w:rsid w:val="002E6DE1"/>
    <w:rsid w:val="002F57E2"/>
    <w:rsid w:val="0030724F"/>
    <w:rsid w:val="00312252"/>
    <w:rsid w:val="003229E2"/>
    <w:rsid w:val="003322E2"/>
    <w:rsid w:val="00345B94"/>
    <w:rsid w:val="00384607"/>
    <w:rsid w:val="003C1961"/>
    <w:rsid w:val="003C3403"/>
    <w:rsid w:val="003D63F2"/>
    <w:rsid w:val="00412D83"/>
    <w:rsid w:val="004147C6"/>
    <w:rsid w:val="00433705"/>
    <w:rsid w:val="0050745C"/>
    <w:rsid w:val="00514742"/>
    <w:rsid w:val="00551CB1"/>
    <w:rsid w:val="00635E4C"/>
    <w:rsid w:val="00682762"/>
    <w:rsid w:val="006B3595"/>
    <w:rsid w:val="0072523A"/>
    <w:rsid w:val="007708C8"/>
    <w:rsid w:val="0079630B"/>
    <w:rsid w:val="007A2513"/>
    <w:rsid w:val="007C5322"/>
    <w:rsid w:val="007E780A"/>
    <w:rsid w:val="00802487"/>
    <w:rsid w:val="008B10FC"/>
    <w:rsid w:val="008D70B7"/>
    <w:rsid w:val="008F0F23"/>
    <w:rsid w:val="009279AC"/>
    <w:rsid w:val="00A03DC3"/>
    <w:rsid w:val="00A71826"/>
    <w:rsid w:val="00A7199A"/>
    <w:rsid w:val="00A947BD"/>
    <w:rsid w:val="00AB2C65"/>
    <w:rsid w:val="00AB586D"/>
    <w:rsid w:val="00AD071D"/>
    <w:rsid w:val="00AE3014"/>
    <w:rsid w:val="00B6336C"/>
    <w:rsid w:val="00B81403"/>
    <w:rsid w:val="00BF4256"/>
    <w:rsid w:val="00CB70C5"/>
    <w:rsid w:val="00D12AF0"/>
    <w:rsid w:val="00D545EC"/>
    <w:rsid w:val="00DB409D"/>
    <w:rsid w:val="00E073CC"/>
    <w:rsid w:val="00E255E8"/>
    <w:rsid w:val="00E44954"/>
    <w:rsid w:val="00E734F4"/>
    <w:rsid w:val="00E80D18"/>
    <w:rsid w:val="00EB64C1"/>
    <w:rsid w:val="00ED453B"/>
    <w:rsid w:val="00F4193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2D4D82"/>
  </w:style>
  <w:style w:type="paragraph" w:styleId="a9">
    <w:name w:val="endnote text"/>
    <w:basedOn w:val="a"/>
    <w:link w:val="aa"/>
    <w:unhideWhenUsed/>
    <w:rsid w:val="00E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концевой сноски Знак"/>
    <w:basedOn w:val="a0"/>
    <w:link w:val="a9"/>
    <w:rsid w:val="00E734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E734F4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st161">
    <w:name w:val="st161"/>
    <w:uiPriority w:val="99"/>
    <w:rsid w:val="00E734F4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F57E2"/>
  </w:style>
  <w:style w:type="character" w:customStyle="1" w:styleId="FontStyle">
    <w:name w:val="Font Style"/>
    <w:rsid w:val="00345B94"/>
    <w:rPr>
      <w:color w:val="000000"/>
    </w:rPr>
  </w:style>
  <w:style w:type="character" w:customStyle="1" w:styleId="rvts0">
    <w:name w:val="rvts0"/>
    <w:rsid w:val="0034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B474-B215-4158-8A86-5CFF4875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12652</Words>
  <Characters>7212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dcterms:created xsi:type="dcterms:W3CDTF">2017-07-10T13:10:00Z</dcterms:created>
  <dcterms:modified xsi:type="dcterms:W3CDTF">2018-04-03T13:25:00Z</dcterms:modified>
</cp:coreProperties>
</file>